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color w:val="000000"/>
          <w:sz w:val="28"/>
          <w:szCs w:val="28"/>
          <w:u w:val="single"/>
          <w:rtl w:val="0"/>
        </w:rPr>
        <w:t xml:space="preserve">ТЕСТ ТОМАСА: СТРАТЕГИИ ПОВЕДЕНИЯ В КОНФЛИКТЕ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980.0" w:type="dxa"/>
        <w:jc w:val="left"/>
        <w:tblInd w:w="-3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6"/>
        <w:gridCol w:w="534"/>
        <w:gridCol w:w="9900"/>
        <w:tblGridChange w:id="0">
          <w:tblGrid>
            <w:gridCol w:w="546"/>
            <w:gridCol w:w="534"/>
            <w:gridCol w:w="9900"/>
          </w:tblGrid>
        </w:tblGridChange>
      </w:tblGrid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Иногда я предоставляю возможность другим взять на себя ответственность за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решение спорного вопроса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Чем обсуждать то, в чем мы расходимся, я стараюсь обратить внимание на то, с чем мы оба согласны.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найти компромиссное решение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пытаюсь уладить дело с учетом интересов другого и моих собственных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Обычно я настойчиво стремлюсь добиться своего.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успокоить другого и главным образом сохранить наши отношения.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найти компромиссное решение.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Иногда я жертвую своими собственными интересами ради интересов другого человека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Улаживая спорную ситуацию, я все время стараюсь найти поддержку у другого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сделать все, чтобы избежать бесполезной напряженности.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пытаюсь избежать возникновения неприятностей для себя.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добиться своего.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отложить решение спорного вопроса с тем, чтобы со временем решить его окончательно.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считаю возможным в чем-то уступить, чтобы добиться другого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Обычно я настойчиво стремлюсь добиться своего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первым делом стараюсь ясно определить то, в чем состоят все затронутые интересы и вопросы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Думаю, что не всегда стоит волноваться, из-за каких-то возникающих разногласий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принимаю усилия, чтобы добиться своего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твердо стремлюсь достичь своего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пытаюсь найти компромиссное решение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первым делом стараюсь ясно определить то, в чем состоят все затронутые</w:t>
              <w:br w:type="textWrapping"/>
              <w:t xml:space="preserve">интересы и вопросы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успокоить другого и главным образом сохранить наши отношения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Зачастую я избегаю занимать позицию, которая может вызвать споры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даю возможность другому в чем-то остаться при своем мнении, если он также идет мне на встречу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предлагаю среднюю позицию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настаиваю, чтобы было сделано по-моему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сообщаю другому свою точку зрения и спрашиваю о его взглядах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пытаюсь показать другому логику и преимущества моих взглядов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успокоить другого и, главным образом, сохранить наши отношения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сделать все необходимое, чтобы избежать напряженности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не задеть чувств другого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пытаюсь убедить другого в преимуществах моей позиции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Обычно я настойчиво стараюсь добиться своего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сделать все, чтобы избежать бесполезной напряженности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Если это сделает другого счастливым, я дам ему возможность настоять на своем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даю возможность другому в чем-то остаться при своем мнении, если он также идет мне навстречу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427"/>
              </w:tabs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Первым делом я стараюсь ясно определить то, в чем состоят все затронутые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интересы и спорные вопросы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отложить решение спорного вопроса с тем, чтобы со временем решить его окончательно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пытаюсь немедленно преодолеть наши разногласия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найти наилучшее сочетание выгод и потерь для нас обоих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Ведя переговоры, я стараюсь быть внимательным к желаниям другого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всегда склоняюсь к прямому обсуждению проблемы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пытаюсь найти позицию, которая находится посредине между моей позицией и точкой зрения другого человека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отстаиваю свои желания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Как правило, я озабочен тем, чтобы удовлетворить желания каждого из нас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Иногда я предоставляю возможность другим взять на себя ответственность за решение спорного вопроса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84"/>
          <w:tab w:val="left" w:pos="326"/>
        </w:tabs>
        <w:ind w:left="284" w:hanging="284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0974.0" w:type="dxa"/>
        <w:jc w:val="left"/>
        <w:tblInd w:w="-3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534"/>
        <w:gridCol w:w="9900"/>
        <w:tblGridChange w:id="0">
          <w:tblGrid>
            <w:gridCol w:w="540"/>
            <w:gridCol w:w="534"/>
            <w:gridCol w:w="9900"/>
          </w:tblGrid>
        </w:tblGridChange>
      </w:tblGrid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542"/>
              </w:tabs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Если позиция другого кажется ему очень важной, я постараюсь пойти на встречу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его желаниям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убедить другого, прийти к компромиссу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пытаюсь показать другому логику и преимущества моих взглядов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Ведя переговоры, я стараюсь быть внимательным к желаниям другого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предлагаю среднюю позицию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почти всегда озабочен тем, чтобы удовлетворить желания каждого из нас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Зачастую я избегаю занимать позицию, которая может вызвать споры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Если это сделает другого счастливым, я дам ему возможность настоять на своем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Обычно я настойчиво стремлюсь добиться своего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Улаживая ситуацию, я обычно стараюсь найти поддержку у другого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предлагаю среднюю позицию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Думаю, что не всегда стоит волноваться из-за каких-то возникающих разногласий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стараюсь не задеть чувств другого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ind w:left="-123" w:firstLine="123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Б.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both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Я всегда занимаю такую позицию в спорном вопросе, чтобы мы совместно с другим заинтересованным человеком могли добиться успеха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Количество баллов, набранных индивидом по каждой шкале, дает представление о выраженности у него тенденции к проявлению соответствующих форм поведения в конфликтных ситуациях.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10683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2"/>
        <w:gridCol w:w="2147"/>
        <w:gridCol w:w="2284"/>
        <w:gridCol w:w="1823"/>
        <w:gridCol w:w="1547"/>
        <w:gridCol w:w="2331"/>
        <w:tblGridChange w:id="0">
          <w:tblGrid>
            <w:gridCol w:w="552"/>
            <w:gridCol w:w="2147"/>
            <w:gridCol w:w="2284"/>
            <w:gridCol w:w="1823"/>
            <w:gridCol w:w="1547"/>
            <w:gridCol w:w="2331"/>
          </w:tblGrid>
        </w:tblGridChange>
      </w:tblGrid>
      <w:tr>
        <w:tc>
          <w:tcPr>
            <w:shd w:fill="3366ff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№</w:t>
            </w:r>
          </w:p>
        </w:tc>
        <w:tc>
          <w:tcPr>
            <w:shd w:fill="3366ff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Соперничество</w:t>
            </w:r>
          </w:p>
        </w:tc>
        <w:tc>
          <w:tcPr>
            <w:shd w:fill="3366ff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Сотрудничество</w:t>
            </w:r>
          </w:p>
        </w:tc>
        <w:tc>
          <w:tcPr>
            <w:shd w:fill="3366ff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Компромисс</w:t>
            </w:r>
          </w:p>
        </w:tc>
        <w:tc>
          <w:tcPr>
            <w:shd w:fill="3366ff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Избегание</w:t>
            </w:r>
          </w:p>
        </w:tc>
        <w:tc>
          <w:tcPr>
            <w:shd w:fill="3366ff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Приспособление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А</w:t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720" w:top="720" w:left="720" w:right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677"/>
        <w:tab w:val="right" w:pos="9355"/>
      </w:tabs>
      <w:spacing w:after="0" w:before="0" w:line="240" w:lineRule="auto"/>
      <w:contextualSpacing w:val="0"/>
      <w:jc w:val="right"/>
    </w:pPr>
    <w:fldSimple w:instr="PAGE" w:fldLock="0" w:dirty="0"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677"/>
        <w:tab w:val="right" w:pos="9355"/>
      </w:tabs>
      <w:spacing w:after="720" w:before="0" w:line="240" w:lineRule="auto"/>
      <w:contextualSpacing w:val="0"/>
      <w:jc w:val="center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